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CA6" w:rsidRDefault="009B4788">
      <w:pPr>
        <w:pStyle w:val="af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Республиканское унитарное предприятие «Национальный выставочный центр «</w:t>
      </w:r>
      <w:proofErr w:type="spellStart"/>
      <w:r>
        <w:rPr>
          <w:rFonts w:ascii="Times New Roman" w:hAnsi="Times New Roman" w:cs="Times New Roman"/>
          <w:lang w:val="ru-RU"/>
        </w:rPr>
        <w:t>БелЭкспо</w:t>
      </w:r>
      <w:proofErr w:type="spellEnd"/>
      <w:r>
        <w:rPr>
          <w:rFonts w:ascii="Times New Roman" w:hAnsi="Times New Roman" w:cs="Times New Roman"/>
          <w:lang w:val="ru-RU"/>
        </w:rPr>
        <w:t>», именуемое в дальнейш</w:t>
      </w:r>
      <w:r>
        <w:rPr>
          <w:rFonts w:ascii="Times New Roman" w:hAnsi="Times New Roman" w:cs="Times New Roman"/>
          <w:lang w:val="ru-RU"/>
        </w:rPr>
        <w:t xml:space="preserve">ем Организатор, в лице заместителя директора по выставочной деятельности Агафоновой Виктории Николаевны, действующей на основании Доверенности №16 от 06.02.2025г., с одной стороны, и ______________________________, именуемое в дальнейшем Экспонент, в лице </w:t>
      </w:r>
      <w:r>
        <w:rPr>
          <w:rStyle w:val="25"/>
          <w:b w:val="0"/>
          <w:bCs w:val="0"/>
          <w:color w:val="000000"/>
          <w:sz w:val="22"/>
          <w:szCs w:val="22"/>
          <w:lang w:val="ru-RU"/>
        </w:rPr>
        <w:t>_______________________________________________</w:t>
      </w:r>
      <w:r>
        <w:rPr>
          <w:rFonts w:ascii="Times New Roman" w:hAnsi="Times New Roman" w:cs="Times New Roman"/>
          <w:lang w:val="ru-RU"/>
        </w:rPr>
        <w:t xml:space="preserve">, действующего </w:t>
      </w:r>
      <w:r>
        <w:rPr>
          <w:rStyle w:val="25"/>
          <w:b w:val="0"/>
          <w:bCs w:val="0"/>
          <w:color w:val="000000"/>
          <w:sz w:val="22"/>
          <w:szCs w:val="22"/>
          <w:lang w:val="ru-RU"/>
        </w:rPr>
        <w:t>на основании __________________________</w:t>
      </w:r>
      <w:r>
        <w:rPr>
          <w:rFonts w:ascii="Times New Roman" w:hAnsi="Times New Roman" w:cs="Times New Roman"/>
          <w:lang w:val="ru-RU"/>
        </w:rPr>
        <w:t>, с другой стороны, заключили настоящий Договор о нижеследующем:</w:t>
      </w:r>
    </w:p>
    <w:p w:rsidR="00324CA6" w:rsidRDefault="00324CA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324CA6" w:rsidRDefault="009B4788">
      <w:pPr>
        <w:pStyle w:val="af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ПРЕДМЕТ ДОГОВОРА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Экспонент обязуется принять участие и своевременно произвести оплату по </w:t>
      </w:r>
      <w:r>
        <w:rPr>
          <w:rFonts w:ascii="Times New Roman" w:hAnsi="Times New Roman" w:cs="Times New Roman"/>
          <w:lang w:val="ru-RU"/>
        </w:rPr>
        <w:t xml:space="preserve">Договору, а Организатор – организовать участие Экспонента в </w:t>
      </w:r>
      <w:r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  <w:lang w:val="ru-RU"/>
        </w:rPr>
        <w:t>II международной выставке индустрии безопасности «НАЦИОНАЛЬНАЯ БЕЗОПАСНОСТЬ. БЕЛАРУСЬ-2026» (далее – Выставка).</w:t>
      </w:r>
    </w:p>
    <w:p w:rsidR="00324CA6" w:rsidRDefault="009B4788">
      <w:pPr>
        <w:pStyle w:val="afc"/>
        <w:keepNext/>
        <w:numPr>
          <w:ilvl w:val="1"/>
          <w:numId w:val="6"/>
        </w:numPr>
        <w:ind w:left="0" w:firstLine="0"/>
        <w:jc w:val="both"/>
        <w:outlineLvl w:val="2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Время проведения выставки: монтаж выставки: 12-15.06.2026г. с 9.00 до 20.00; ввоз э</w:t>
      </w:r>
      <w:r>
        <w:rPr>
          <w:rFonts w:eastAsiaTheme="minorHAnsi"/>
          <w:sz w:val="22"/>
          <w:szCs w:val="22"/>
          <w:lang w:eastAsia="en-US"/>
        </w:rPr>
        <w:t>кспонатов: 16.06.2026г. с 9.00 до 20.00; работа выставки: 17 - 18.06.2026г. с 10.00 до 18.00, 19.06.2026г. с 10.00 до 16.00; демонтаж: 19.06.2026г. с 16.00 до 22.00.</w:t>
      </w:r>
    </w:p>
    <w:p w:rsidR="00324CA6" w:rsidRDefault="009B4788">
      <w:pPr>
        <w:pStyle w:val="afc"/>
        <w:numPr>
          <w:ilvl w:val="1"/>
          <w:numId w:val="6"/>
        </w:numPr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Место проведения выставки: Минский международный выставочный центр, ул. </w:t>
      </w:r>
      <w:proofErr w:type="spellStart"/>
      <w:r>
        <w:rPr>
          <w:rFonts w:eastAsiaTheme="minorHAnsi"/>
          <w:sz w:val="22"/>
          <w:szCs w:val="22"/>
          <w:lang w:eastAsia="en-US"/>
        </w:rPr>
        <w:t>П.Медёлки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, 24, </w:t>
      </w:r>
      <w:proofErr w:type="spellStart"/>
      <w:r>
        <w:rPr>
          <w:rFonts w:eastAsiaTheme="minorHAnsi"/>
          <w:sz w:val="22"/>
          <w:szCs w:val="22"/>
          <w:lang w:eastAsia="en-US"/>
        </w:rPr>
        <w:t>г.М</w:t>
      </w:r>
      <w:r>
        <w:rPr>
          <w:rFonts w:eastAsiaTheme="minorHAnsi"/>
          <w:sz w:val="22"/>
          <w:szCs w:val="22"/>
          <w:lang w:eastAsia="en-US"/>
        </w:rPr>
        <w:t>инск</w:t>
      </w:r>
      <w:proofErr w:type="spellEnd"/>
      <w:r>
        <w:rPr>
          <w:rFonts w:eastAsiaTheme="minorHAnsi"/>
          <w:sz w:val="22"/>
          <w:szCs w:val="22"/>
          <w:lang w:eastAsia="en-US"/>
        </w:rPr>
        <w:t>, Республика Беларусь.</w:t>
      </w:r>
    </w:p>
    <w:p w:rsidR="00324CA6" w:rsidRDefault="009B4788">
      <w:pPr>
        <w:pStyle w:val="afc"/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Перечень услуг, предоставляемых в рамках настоящего Договора, определяется заявками, направленными в адрес Организатора по электронной почте: </w:t>
      </w:r>
      <w:hyperlink r:id="rId10" w:tooltip="mailto:budexpo@belexpo.by" w:history="1">
        <w:r>
          <w:rPr>
            <w:rStyle w:val="af4"/>
            <w:sz w:val="22"/>
            <w:szCs w:val="22"/>
            <w:lang w:val="en-US"/>
          </w:rPr>
          <w:t>nbb</w:t>
        </w:r>
        <w:r>
          <w:rPr>
            <w:rStyle w:val="af4"/>
            <w:sz w:val="22"/>
            <w:szCs w:val="22"/>
          </w:rPr>
          <w:t>@belexpo.by</w:t>
        </w:r>
      </w:hyperlink>
      <w:r>
        <w:rPr>
          <w:sz w:val="22"/>
          <w:szCs w:val="22"/>
        </w:rPr>
        <w:t xml:space="preserve">, и Счетом, являющимся неотъемлемой частью Договора. </w:t>
      </w:r>
    </w:p>
    <w:p w:rsidR="00324CA6" w:rsidRDefault="009B4788">
      <w:pPr>
        <w:pStyle w:val="af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1.5. Неотъемлемой частью Договора является </w:t>
      </w:r>
      <w:r>
        <w:rPr>
          <w:rFonts w:ascii="Times New Roman" w:hAnsi="Times New Roman" w:cs="Times New Roman"/>
          <w:b/>
          <w:lang w:val="ru-RU"/>
        </w:rPr>
        <w:t>Руководство участника выставки «НАЦИОНАЛЬНАЯ БЕЗОПАСНОСТЬ. БЕЛАРУСЬ - 2026» (далее – Руководство)</w:t>
      </w:r>
      <w:r>
        <w:rPr>
          <w:rFonts w:ascii="Times New Roman" w:hAnsi="Times New Roman" w:cs="Times New Roman"/>
          <w:lang w:val="ru-RU"/>
        </w:rPr>
        <w:t>, которое применяется к Договору в части, не урегулированной Д</w:t>
      </w:r>
      <w:r>
        <w:rPr>
          <w:rFonts w:ascii="Times New Roman" w:hAnsi="Times New Roman" w:cs="Times New Roman"/>
          <w:lang w:val="ru-RU"/>
        </w:rPr>
        <w:t>оговором. Руководство размещено и доступно для ознакомления на официальном интернет-сайте Выставки</w:t>
      </w:r>
      <w:r w:rsidR="00A838B2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="00A838B2">
        <w:rPr>
          <w:rFonts w:ascii="Times New Roman" w:hAnsi="Times New Roman" w:cs="Times New Roman"/>
        </w:rPr>
        <w:t>nbbexpo</w:t>
      </w:r>
      <w:proofErr w:type="spellEnd"/>
      <w:r w:rsidR="00A838B2" w:rsidRPr="00A838B2">
        <w:rPr>
          <w:rFonts w:ascii="Times New Roman" w:hAnsi="Times New Roman" w:cs="Times New Roman"/>
          <w:lang w:val="ru-RU"/>
        </w:rPr>
        <w:t>.</w:t>
      </w:r>
      <w:r w:rsidR="00A838B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  <w:lang w:val="ru-RU"/>
        </w:rPr>
        <w:t>. Подписанием Договора Экспонент подтверждает, что ему понятно Руководство, он ознакомлен и согласен с ним. В случае противоречий между Договором и Руководств</w:t>
      </w:r>
      <w:r>
        <w:rPr>
          <w:rFonts w:ascii="Times New Roman" w:hAnsi="Times New Roman" w:cs="Times New Roman"/>
          <w:lang w:val="ru-RU"/>
        </w:rPr>
        <w:t>ом, положения Договора имеют приоритет.</w:t>
      </w:r>
    </w:p>
    <w:p w:rsidR="00324CA6" w:rsidRDefault="00324CA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324CA6" w:rsidRDefault="009B4788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СТОИМОСТЬ УСЛУГ И ПОРЯДОК РАСЧЕТОВ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Стоимость участия в выставке является договорной и определяется в соответствии со Счетом, являющимся его неотъемлемой частью. Окончательная стоимость участия определяется Актом сда</w:t>
      </w:r>
      <w:r>
        <w:rPr>
          <w:rFonts w:ascii="Times New Roman" w:hAnsi="Times New Roman" w:cs="Times New Roman"/>
          <w:lang w:val="ru-RU"/>
        </w:rPr>
        <w:t>чи-приемки предоставленных услуг.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Оплата по договору производится не позднее 10 банковских дней до начала монтажа выставки. Экспонент производит предоплату в соответствии со Счетом в форме авансового платежа, в размере 100 (сто) процентов, на расчетный сче</w:t>
      </w:r>
      <w:r>
        <w:rPr>
          <w:rFonts w:ascii="Times New Roman" w:hAnsi="Times New Roman" w:cs="Times New Roman"/>
          <w:lang w:val="ru-RU"/>
        </w:rPr>
        <w:t>т Организатора. Расходы по банковскому переводу денежных средств несет Экспонент.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Нерезиденты Республики Беларусь осуществляют оплату в российских рублях по курсу белорусского рубля к российскому рублю, установленному Национальным Банком Республики Беларус</w:t>
      </w:r>
      <w:r>
        <w:rPr>
          <w:rFonts w:ascii="Times New Roman" w:hAnsi="Times New Roman" w:cs="Times New Roman"/>
          <w:lang w:val="ru-RU"/>
        </w:rPr>
        <w:t xml:space="preserve">ь на день оплаты (http://www.nbrb.by). 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случае заказа дополнительных услуг во время работы Выставки, окончательная оплата производится Экспонентом в срок не позднее последнего дня работы выставки на основании выставленного Счета и Акта сдачи-приемки пред</w:t>
      </w:r>
      <w:r>
        <w:rPr>
          <w:rFonts w:ascii="Times New Roman" w:hAnsi="Times New Roman" w:cs="Times New Roman"/>
          <w:lang w:val="ru-RU"/>
        </w:rPr>
        <w:t>оставленных услуг.</w:t>
      </w:r>
    </w:p>
    <w:p w:rsidR="00324CA6" w:rsidRDefault="00324CA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324CA6" w:rsidRDefault="009B4788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ПРАВА И ОБЯЗАННОСТИ СТОРОН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обязуется предоставить Экспоненту на весь период проведения выставки (включая время монтажа и демонтажа) необходимую выставочную площадь, а также дополнительное оборудование и услуги в соответствии</w:t>
      </w:r>
      <w:r>
        <w:rPr>
          <w:rFonts w:ascii="Times New Roman" w:hAnsi="Times New Roman" w:cs="Times New Roman"/>
          <w:lang w:val="ru-RU"/>
        </w:rPr>
        <w:t xml:space="preserve"> со Счетом. 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имеет право в случае неполучения платежа в соответствии с п.2.2.</w:t>
      </w:r>
      <w:r w:rsidR="00A838B2" w:rsidRPr="00A838B2">
        <w:rPr>
          <w:rFonts w:ascii="Times New Roman" w:hAnsi="Times New Roman" w:cs="Times New Roman"/>
          <w:lang w:val="ru-RU"/>
        </w:rPr>
        <w:t xml:space="preserve"> </w:t>
      </w:r>
      <w:r w:rsidR="00A838B2">
        <w:rPr>
          <w:rFonts w:ascii="Times New Roman" w:hAnsi="Times New Roman" w:cs="Times New Roman"/>
          <w:lang w:val="ru-RU"/>
        </w:rPr>
        <w:t>настоящего договора</w:t>
      </w:r>
      <w:r>
        <w:rPr>
          <w:rFonts w:ascii="Times New Roman" w:hAnsi="Times New Roman" w:cs="Times New Roman"/>
          <w:lang w:val="ru-RU"/>
        </w:rPr>
        <w:t xml:space="preserve">, расторгнуть настоящий Договор в одностороннем порядке, после направления письменного уведомления Экспоненту, а заявленную площадь предложить другому участнику. 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</w:t>
      </w:r>
      <w:r>
        <w:rPr>
          <w:rFonts w:ascii="Times New Roman" w:hAnsi="Times New Roman" w:cs="Times New Roman"/>
          <w:lang w:val="ru-RU"/>
        </w:rPr>
        <w:t>онент обязуется:</w:t>
      </w:r>
    </w:p>
    <w:p w:rsidR="00324CA6" w:rsidRDefault="009B4788">
      <w:pPr>
        <w:pStyle w:val="af3"/>
        <w:numPr>
          <w:ilvl w:val="2"/>
          <w:numId w:val="6"/>
        </w:numPr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Принять и оплатить услуги Организатора в порядке, установленном Договором.</w:t>
      </w:r>
    </w:p>
    <w:p w:rsidR="00324CA6" w:rsidRDefault="009B4788">
      <w:pPr>
        <w:pStyle w:val="afc"/>
        <w:numPr>
          <w:ilvl w:val="2"/>
          <w:numId w:val="6"/>
        </w:numPr>
        <w:ind w:left="0" w:firstLine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В день заезда на выставку иметь при себе подлинники подписанного Договора, Акта сдачи-приемки предоставленных услуг, Доверенности на представление интересов предприятия на выставке, а также копии документов, подтверждающих оплату участия. </w:t>
      </w:r>
    </w:p>
    <w:p w:rsidR="00324CA6" w:rsidRDefault="009B478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При строительств</w:t>
      </w:r>
      <w:r>
        <w:rPr>
          <w:rFonts w:ascii="Times New Roman" w:hAnsi="Times New Roman" w:cs="Times New Roman"/>
          <w:lang w:val="ru-RU"/>
        </w:rPr>
        <w:t>е стендов собственными силами применять материалы с пожарно-техническими показателями не ниже Г2, Т2, Д2, РПЗ согласно строительным нормам Республики Беларусь материалов СН 2.02.05-2020.</w:t>
      </w:r>
    </w:p>
    <w:p w:rsidR="00324CA6" w:rsidRDefault="009B478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Обеспечить присутствие на стенде уполномоченного представителя Экспон</w:t>
      </w:r>
      <w:r>
        <w:rPr>
          <w:rFonts w:ascii="Times New Roman" w:hAnsi="Times New Roman" w:cs="Times New Roman"/>
          <w:lang w:val="ru-RU"/>
        </w:rPr>
        <w:t>ента, назначенного ответственным за обеспечение пожарной безопасности, электробезопасности, охраны труда и техники безопасности на весь период Выставки.</w:t>
      </w:r>
    </w:p>
    <w:p w:rsidR="00324CA6" w:rsidRDefault="009B478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Немедленно извещать Организатора и соответствующие органы о любой аварии или ином событии, нанесшем (ил</w:t>
      </w:r>
      <w:r>
        <w:rPr>
          <w:rFonts w:ascii="Times New Roman" w:hAnsi="Times New Roman" w:cs="Times New Roman"/>
          <w:lang w:val="ru-RU"/>
        </w:rPr>
        <w:t>и грозящем нанести) выставочному павильону и находящимся в нем объектам ущерб и своевременно принимать меры по предотвращению возможного причиненного ущерба.</w:t>
      </w:r>
    </w:p>
    <w:p w:rsidR="00324CA6" w:rsidRDefault="009B478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Соблюдать режим работы Выставки.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имеет право:</w:t>
      </w:r>
    </w:p>
    <w:p w:rsidR="00324CA6" w:rsidRDefault="009B478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Проводить рекламные мероприятия только на </w:t>
      </w:r>
      <w:r>
        <w:rPr>
          <w:rFonts w:ascii="Times New Roman" w:hAnsi="Times New Roman" w:cs="Times New Roman"/>
          <w:lang w:val="ru-RU"/>
        </w:rPr>
        <w:t xml:space="preserve">площади своего стенда и только о деятельности представляемого на выставке предприятия. </w:t>
      </w:r>
    </w:p>
    <w:p w:rsidR="00324CA6" w:rsidRDefault="009B478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Осуществлять продажу товаров на выставке в соответствии с Правилами торговли, при наличии документов, предусмотренных действующим законодательством Республики Беларусь.</w:t>
      </w:r>
      <w:r>
        <w:rPr>
          <w:rFonts w:ascii="Times New Roman" w:hAnsi="Times New Roman" w:cs="Times New Roman"/>
          <w:lang w:val="ru-RU"/>
        </w:rPr>
        <w:t xml:space="preserve"> Данные документы хранятся у Экспонента в течение всего времени работы выставки и предъявляются по первому требованию.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обязуются соблюдать законодательство о защите персональных данных.</w:t>
      </w:r>
    </w:p>
    <w:p w:rsidR="00324CA6" w:rsidRDefault="00324CA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324CA6" w:rsidRDefault="009B4788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ОТВЕТСТВЕННОСТЬ СТОРОН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несет ответственность за к</w:t>
      </w:r>
      <w:r>
        <w:rPr>
          <w:rFonts w:ascii="Times New Roman" w:hAnsi="Times New Roman" w:cs="Times New Roman"/>
          <w:lang w:val="ru-RU"/>
        </w:rPr>
        <w:t>ачество предоставленных работ и услуг. Организатор обеспечивает круглосуточную общую охрану павильона, не осуществляя при этом индивидуальную охрану стенда.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не несёт ответственность за повреждения или ущерб, причинённый Экспоненту третьими лица</w:t>
      </w:r>
      <w:r>
        <w:rPr>
          <w:rFonts w:ascii="Times New Roman" w:hAnsi="Times New Roman" w:cs="Times New Roman"/>
          <w:lang w:val="ru-RU"/>
        </w:rPr>
        <w:t>ми во время работы Выставки.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несет ответственность:</w:t>
      </w:r>
    </w:p>
    <w:p w:rsidR="00324CA6" w:rsidRDefault="009B478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 соблюдение требований законодательства по охране труда и технике безопасности, санитарных правил, правил пожарной и электробезопасности на предоставленных площадях. На территории Выставки зап</w:t>
      </w:r>
      <w:r>
        <w:rPr>
          <w:rFonts w:ascii="Times New Roman" w:hAnsi="Times New Roman" w:cs="Times New Roman"/>
          <w:lang w:val="ru-RU"/>
        </w:rPr>
        <w:t>рещается пользоваться открытым огнем. Курение разрешено только в зонах для курения, в том числе и курение электронных сигарет и т.п. устройств. Погрузочно-разгрузочные работы, выполняемые экспонентом, должны производиться на технически исправном оборудован</w:t>
      </w:r>
      <w:r>
        <w:rPr>
          <w:rFonts w:ascii="Times New Roman" w:hAnsi="Times New Roman" w:cs="Times New Roman"/>
          <w:lang w:val="ru-RU"/>
        </w:rPr>
        <w:t>ии, под непосредственным наблюдением лица, ответственного за безопасное проведение погрузочно-разгрузочных работ в соответствии с правилами по охране труда.</w:t>
      </w:r>
    </w:p>
    <w:p w:rsidR="00324CA6" w:rsidRDefault="009B4788">
      <w:pPr>
        <w:pStyle w:val="af3"/>
        <w:numPr>
          <w:ilvl w:val="2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или его представитель (работник) несет ответственность за ущерб, нанесенный Организатору и третьим лицам во время монтажа, демонтажа, работы выставки, включая повреждение выставочного павильона, прилегающей территории, оборудования, мебели, техни</w:t>
      </w:r>
      <w:r>
        <w:rPr>
          <w:rFonts w:ascii="Times New Roman" w:hAnsi="Times New Roman" w:cs="Times New Roman"/>
          <w:lang w:val="ru-RU"/>
        </w:rPr>
        <w:t xml:space="preserve">ки организатора (далее –имущество). В случае гибели или порчи имущества Экспонент обязан возместить ущерб, причиненный имуществу Организатора согласно выставленному счету, на основании Акта выявленных нарушений в течение 5 (пяти) банковских дней с момента </w:t>
      </w:r>
      <w:r>
        <w:rPr>
          <w:rFonts w:ascii="Times New Roman" w:hAnsi="Times New Roman" w:cs="Times New Roman"/>
          <w:lang w:val="ru-RU"/>
        </w:rPr>
        <w:t>выставления Организатором счета.</w:t>
      </w:r>
    </w:p>
    <w:p w:rsidR="00324CA6" w:rsidRDefault="009B4788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Сторона не несет ответственности за неисполнение или ненадлежащее исполнение обязательств по договору, если докажет, что их надлежащее исполнение стало невозможным вследствие действия возникших после заключения Договора чре</w:t>
      </w:r>
      <w:r>
        <w:rPr>
          <w:rFonts w:ascii="Times New Roman" w:hAnsi="Times New Roman" w:cs="Times New Roman"/>
          <w:lang w:val="ru-RU"/>
        </w:rPr>
        <w:t xml:space="preserve">звычайных и непредотвратимых при данных условиях обстоятельств (форс-мажор): стихийных бедствий (землетрясения, наводнения, ураганы и др.), аварий и катастроф, эпидемий, войн и военных действий, гражданских беспорядков, забастовок, террористических актов, </w:t>
      </w:r>
      <w:r>
        <w:rPr>
          <w:rFonts w:ascii="Times New Roman" w:hAnsi="Times New Roman" w:cs="Times New Roman"/>
          <w:lang w:val="ru-RU"/>
        </w:rPr>
        <w:t>действий (решений) государственных и местных органов власти, направленных на ограничение поставок, свободного перемещения товаров и/или рабочей силы, закрытие границ, т.п. В случае наступления этих обстоятельств Сторона обязана в течение 2 (двух) календарн</w:t>
      </w:r>
      <w:r>
        <w:rPr>
          <w:rFonts w:ascii="Times New Roman" w:hAnsi="Times New Roman" w:cs="Times New Roman"/>
          <w:lang w:val="ru-RU"/>
        </w:rPr>
        <w:t>ых дней уведомить об этом другую Сторону. Документ, выданный Торгово-промышленной палатой или уполномоченным государственным органом</w:t>
      </w:r>
      <w:r>
        <w:rPr>
          <w:rFonts w:ascii="Times New Roman" w:eastAsia="Times New Roman" w:hAnsi="Times New Roman" w:cs="Times New Roman"/>
          <w:color w:val="242424"/>
          <w:shd w:val="clear" w:color="auto" w:fill="FFFFFF"/>
          <w:lang w:val="ru-RU" w:eastAsia="ru-RU"/>
        </w:rPr>
        <w:t xml:space="preserve"> </w:t>
      </w:r>
      <w:r>
        <w:rPr>
          <w:rFonts w:ascii="Times New Roman" w:hAnsi="Times New Roman" w:cs="Times New Roman"/>
          <w:lang w:val="ru-RU"/>
        </w:rPr>
        <w:t>страны местонахождения стороны договора, для которой стало невозможным выполнение обязательства, является достаточным подтв</w:t>
      </w:r>
      <w:r>
        <w:rPr>
          <w:rFonts w:ascii="Times New Roman" w:hAnsi="Times New Roman" w:cs="Times New Roman"/>
          <w:lang w:val="ru-RU"/>
        </w:rPr>
        <w:t>ерждением наличия и продолжительности действия непреодолимой силы. При наступлении форс-мажора сроки исполнения обязательств по договору отодвигаются соразмерно времени, в течение которого действовал форс-мажор.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Отказ от участия в выставке должен быть офор</w:t>
      </w:r>
      <w:r>
        <w:rPr>
          <w:rFonts w:ascii="Times New Roman" w:hAnsi="Times New Roman" w:cs="Times New Roman"/>
          <w:lang w:val="ru-RU"/>
        </w:rPr>
        <w:t>млен Экспонентом в письменном виде не позднее 20 календарных дней до начала монтажа выставки. При несоблюдении указанного условия, оплаченный Организатору регистрационный сбор, а также стоимость оказываемых услуг по счету Экспоненту не возвращается, за иск</w:t>
      </w:r>
      <w:r>
        <w:rPr>
          <w:rFonts w:ascii="Times New Roman" w:hAnsi="Times New Roman" w:cs="Times New Roman"/>
          <w:lang w:val="ru-RU"/>
        </w:rPr>
        <w:t>лючением стоимости дополнительного оборудования и мебели.</w:t>
      </w:r>
    </w:p>
    <w:p w:rsidR="00324CA6" w:rsidRDefault="009B4788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случае, если Экспонент не осуществил оплату услуг в обозначенные в п. 2.2., 2.3. сроки, Организатор вправе взыскать пеню в размере 0,1% от неоплаченной в срок суммы за каждый день просрочки или от</w:t>
      </w:r>
      <w:r>
        <w:rPr>
          <w:rFonts w:ascii="Times New Roman" w:hAnsi="Times New Roman" w:cs="Times New Roman"/>
          <w:lang w:val="ru-RU"/>
        </w:rPr>
        <w:t>казать Экспоненту в допуске к участию в выставке. Пеня начисляется с первого дня работы Выставки.</w:t>
      </w:r>
    </w:p>
    <w:p w:rsidR="00324CA6" w:rsidRDefault="00324CA6">
      <w:pPr>
        <w:pStyle w:val="af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lang w:val="ru-RU"/>
        </w:rPr>
      </w:pPr>
    </w:p>
    <w:p w:rsidR="00324CA6" w:rsidRDefault="009B4788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АНТИКОРРУПЦИОННАЯ ОГОВОРКА</w:t>
      </w:r>
    </w:p>
    <w:p w:rsidR="00324CA6" w:rsidRDefault="009B4788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При исполнении своих обязанностей по Договору Стороны, их аффилированные лица, работники или посредники обязуются не совершать в о</w:t>
      </w:r>
      <w:r>
        <w:rPr>
          <w:rFonts w:ascii="Times New Roman" w:hAnsi="Times New Roman" w:cs="Times New Roman"/>
          <w:lang w:val="ru-RU"/>
        </w:rPr>
        <w:t>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:rsidR="00324CA6" w:rsidRDefault="009B4788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 исполнении своих обязанностей по Договору Стороны обязую</w:t>
      </w:r>
      <w:r>
        <w:rPr>
          <w:rFonts w:ascii="Times New Roman" w:hAnsi="Times New Roman" w:cs="Times New Roman"/>
          <w:lang w:val="ru-RU"/>
        </w:rPr>
        <w:t>тся не допускать действий коррупционной направленности.</w:t>
      </w:r>
    </w:p>
    <w:p w:rsidR="00324CA6" w:rsidRDefault="009B4788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324CA6" w:rsidRDefault="009B4788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324CA6" w:rsidRDefault="00324CA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324CA6" w:rsidRDefault="009B4788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РАЗРЕШЕНИЕ СПОРОВ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Разрешение споров </w:t>
      </w:r>
      <w:r>
        <w:rPr>
          <w:rFonts w:ascii="Times New Roman" w:hAnsi="Times New Roman" w:cs="Times New Roman"/>
          <w:lang w:val="ru-RU"/>
        </w:rPr>
        <w:t>осуществляется на основании законодательства Республики Беларусь в Экономическом суде г.</w:t>
      </w:r>
      <w:r w:rsidR="00A838B2">
        <w:rPr>
          <w:rFonts w:ascii="Times New Roman" w:hAnsi="Times New Roman" w:cs="Times New Roman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lang w:val="ru-RU"/>
        </w:rPr>
        <w:t xml:space="preserve">Минска. </w:t>
      </w:r>
      <w:r w:rsidR="00A838B2">
        <w:rPr>
          <w:rFonts w:ascii="Times New Roman" w:hAnsi="Times New Roman" w:cs="Times New Roman"/>
          <w:lang w:val="ru-RU"/>
        </w:rPr>
        <w:t>Применимое право – право Республики Беларусь.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Претензии по оказанным услугам принимаются в период проведения Выставки только в письменном виде. В случае отсутствия претензий со стороны Экспонента услуги сч</w:t>
      </w:r>
      <w:r>
        <w:rPr>
          <w:rFonts w:ascii="Times New Roman" w:hAnsi="Times New Roman" w:cs="Times New Roman"/>
          <w:lang w:val="ru-RU"/>
        </w:rPr>
        <w:t>итаются оказанными и принятыми Экспонентом в сумме, указанной в Акте сдачи-приемки предоставленных услуг, независимо от факта его подписания Экспонентом.</w:t>
      </w:r>
    </w:p>
    <w:p w:rsidR="00324CA6" w:rsidRDefault="00324CA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324CA6" w:rsidRDefault="009B4788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ДОПОЛНИТЕЛЬНЫЕ УСЛОВИЯ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Документы (в том числе настоящий Договор), подписанные уполномоченными предста</w:t>
      </w:r>
      <w:r>
        <w:rPr>
          <w:rFonts w:ascii="Times New Roman" w:hAnsi="Times New Roman" w:cs="Times New Roman"/>
          <w:lang w:val="ru-RU"/>
        </w:rPr>
        <w:t>вителями Сторон и переданные посредством факсимильной или электронной связи, имеют юридическую силу с последующей заменой оригиналами.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Договор вступает в силу со дня его подписания и действует до полного исполнения сторонами обязательств.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Государственное предприятие «</w:t>
      </w:r>
      <w:proofErr w:type="spellStart"/>
      <w:r>
        <w:rPr>
          <w:rFonts w:ascii="Times New Roman" w:hAnsi="Times New Roman" w:cs="Times New Roman"/>
          <w:b/>
          <w:lang w:val="ru-RU"/>
        </w:rPr>
        <w:t>БелЭкспо</w:t>
      </w:r>
      <w:proofErr w:type="spellEnd"/>
      <w:r>
        <w:rPr>
          <w:rFonts w:ascii="Times New Roman" w:hAnsi="Times New Roman" w:cs="Times New Roman"/>
          <w:b/>
          <w:lang w:val="ru-RU"/>
        </w:rPr>
        <w:t>» является генеральным застройщиком выставочных стендов на выставках, проводимых государственным предприятием «</w:t>
      </w:r>
      <w:proofErr w:type="spellStart"/>
      <w:r>
        <w:rPr>
          <w:rFonts w:ascii="Times New Roman" w:hAnsi="Times New Roman" w:cs="Times New Roman"/>
          <w:b/>
          <w:lang w:val="ru-RU"/>
        </w:rPr>
        <w:t>БелЭкспо</w:t>
      </w:r>
      <w:proofErr w:type="spellEnd"/>
      <w:r>
        <w:rPr>
          <w:rFonts w:ascii="Times New Roman" w:hAnsi="Times New Roman" w:cs="Times New Roman"/>
          <w:b/>
          <w:lang w:val="ru-RU"/>
        </w:rPr>
        <w:t>». При строительстве стендов сторонними организациями прохождение аккредитации обязательно.</w:t>
      </w:r>
      <w:r>
        <w:rPr>
          <w:rFonts w:ascii="Times New Roman" w:hAnsi="Times New Roman" w:cs="Times New Roman"/>
          <w:lang w:val="ru-RU"/>
        </w:rPr>
        <w:t xml:space="preserve"> Условия </w:t>
      </w:r>
      <w:r>
        <w:rPr>
          <w:rFonts w:ascii="Times New Roman" w:hAnsi="Times New Roman" w:cs="Times New Roman"/>
          <w:lang w:val="ru-RU"/>
        </w:rPr>
        <w:t>прохождения аккредитации размещены на сайте государственного предприятия «</w:t>
      </w:r>
      <w:proofErr w:type="spellStart"/>
      <w:r>
        <w:rPr>
          <w:rFonts w:ascii="Times New Roman" w:hAnsi="Times New Roman" w:cs="Times New Roman"/>
          <w:lang w:val="ru-RU"/>
        </w:rPr>
        <w:t>БелЭкспо</w:t>
      </w:r>
      <w:proofErr w:type="spellEnd"/>
      <w:r>
        <w:rPr>
          <w:rFonts w:ascii="Times New Roman" w:hAnsi="Times New Roman" w:cs="Times New Roman"/>
          <w:lang w:val="ru-RU"/>
        </w:rPr>
        <w:t>» (</w:t>
      </w:r>
      <w:hyperlink r:id="rId11" w:tooltip="http://www.belexpo.by" w:history="1">
        <w:r>
          <w:rPr>
            <w:rStyle w:val="af4"/>
            <w:rFonts w:ascii="Times New Roman" w:hAnsi="Times New Roman" w:cs="Times New Roman"/>
            <w:lang w:val="ru-RU"/>
          </w:rPr>
          <w:t>www.belexpo.by</w:t>
        </w:r>
      </w:hyperlink>
      <w:r>
        <w:rPr>
          <w:rFonts w:ascii="Times New Roman" w:hAnsi="Times New Roman" w:cs="Times New Roman"/>
          <w:lang w:val="ru-RU"/>
        </w:rPr>
        <w:t>).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Туристические услуги по организации трансфера, бронированию билетов (авиа, ж/д, автобус),</w:t>
      </w:r>
      <w:r>
        <w:rPr>
          <w:rFonts w:ascii="Times New Roman" w:hAnsi="Times New Roman" w:cs="Times New Roman"/>
          <w:lang w:val="ru-RU"/>
        </w:rPr>
        <w:t xml:space="preserve"> размещение в гостиницах, экскурсионные услуги оказывает государственное предприятие «</w:t>
      </w:r>
      <w:proofErr w:type="spellStart"/>
      <w:r>
        <w:rPr>
          <w:rFonts w:ascii="Times New Roman" w:hAnsi="Times New Roman" w:cs="Times New Roman"/>
          <w:lang w:val="ru-RU"/>
        </w:rPr>
        <w:t>БелЭкспо</w:t>
      </w:r>
      <w:proofErr w:type="spellEnd"/>
      <w:r>
        <w:rPr>
          <w:rFonts w:ascii="Times New Roman" w:hAnsi="Times New Roman" w:cs="Times New Roman"/>
          <w:lang w:val="ru-RU"/>
        </w:rPr>
        <w:t>», тел. (+375 29) 911 56 54, e-</w:t>
      </w:r>
      <w:proofErr w:type="spellStart"/>
      <w:r>
        <w:rPr>
          <w:rFonts w:ascii="Times New Roman" w:hAnsi="Times New Roman" w:cs="Times New Roman"/>
          <w:lang w:val="ru-RU"/>
        </w:rPr>
        <w:t>mail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hyperlink r:id="rId12" w:tooltip="mailto:product@ck.by" w:history="1">
        <w:r>
          <w:rPr>
            <w:rStyle w:val="af4"/>
            <w:rFonts w:ascii="Times New Roman" w:hAnsi="Times New Roman" w:cs="Times New Roman"/>
            <w:lang w:val="ru-RU"/>
          </w:rPr>
          <w:t>leg@belexpo.by</w:t>
        </w:r>
      </w:hyperlink>
      <w:r>
        <w:rPr>
          <w:rFonts w:ascii="Times New Roman" w:hAnsi="Times New Roman" w:cs="Times New Roman"/>
          <w:lang w:val="ru-RU"/>
        </w:rPr>
        <w:t>, сайт – www.otpusk.by.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Услуги по таможенному оф</w:t>
      </w:r>
      <w:r>
        <w:rPr>
          <w:rFonts w:ascii="Times New Roman" w:hAnsi="Times New Roman" w:cs="Times New Roman"/>
          <w:lang w:val="ru-RU"/>
        </w:rPr>
        <w:t>ормлению и перевозке грузов оказывает УП «Выставочный экспедитор», Республика Беларусь, 220035 г. Минск, ул. Тимирязева,65б, оф.: 1311, тел/факс (+375 17) 361-03-51, (+37529) 651-22-51, E-</w:t>
      </w:r>
      <w:proofErr w:type="spellStart"/>
      <w:r>
        <w:rPr>
          <w:rFonts w:ascii="Times New Roman" w:hAnsi="Times New Roman" w:cs="Times New Roman"/>
          <w:lang w:val="ru-RU"/>
        </w:rPr>
        <w:t>mail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hyperlink r:id="rId13" w:tooltip="mailto:info@ekspeditor.com" w:history="1">
        <w:r>
          <w:rPr>
            <w:rStyle w:val="af4"/>
            <w:rFonts w:ascii="Times New Roman" w:hAnsi="Times New Roman" w:cs="Times New Roman"/>
            <w:lang w:val="ru-RU"/>
          </w:rPr>
          <w:t>info@e</w:t>
        </w:r>
        <w:r>
          <w:rPr>
            <w:rStyle w:val="af4"/>
            <w:rFonts w:ascii="Times New Roman" w:hAnsi="Times New Roman" w:cs="Times New Roman"/>
          </w:rPr>
          <w:t>ks</w:t>
        </w:r>
        <w:r>
          <w:rPr>
            <w:rStyle w:val="af4"/>
            <w:rFonts w:ascii="Times New Roman" w:hAnsi="Times New Roman" w:cs="Times New Roman"/>
            <w:lang w:val="ru-RU"/>
          </w:rPr>
          <w:t>peditor.com</w:t>
        </w:r>
      </w:hyperlink>
      <w:r>
        <w:rPr>
          <w:rFonts w:ascii="Times New Roman" w:hAnsi="Times New Roman" w:cs="Times New Roman"/>
          <w:lang w:val="ru-RU"/>
        </w:rPr>
        <w:t>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вопросах, не урегулированных настоящим договором, стороны руководствуются действующим законодательством Республики Беларусь.</w:t>
      </w:r>
    </w:p>
    <w:p w:rsidR="00324CA6" w:rsidRDefault="00324CA6">
      <w:pPr>
        <w:pStyle w:val="af3"/>
        <w:jc w:val="both"/>
        <w:rPr>
          <w:rFonts w:ascii="Times New Roman" w:hAnsi="Times New Roman" w:cs="Times New Roman"/>
          <w:lang w:val="ru-RU"/>
        </w:rPr>
      </w:pPr>
    </w:p>
    <w:tbl>
      <w:tblPr>
        <w:tblW w:w="1063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245"/>
        <w:gridCol w:w="4825"/>
        <w:gridCol w:w="562"/>
      </w:tblGrid>
      <w:tr w:rsidR="00324CA6">
        <w:trPr>
          <w:trHeight w:val="1775"/>
        </w:trPr>
        <w:tc>
          <w:tcPr>
            <w:tcW w:w="5245" w:type="dxa"/>
            <w:shd w:val="clear" w:color="auto" w:fill="auto"/>
          </w:tcPr>
          <w:p w:rsidR="00324CA6" w:rsidRDefault="009B47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ОРГАНИЗАТОР</w:t>
            </w:r>
          </w:p>
          <w:p w:rsidR="00324CA6" w:rsidRDefault="009B47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Республиканское унитарное предприятие «Национальный выставочный центр «</w:t>
            </w:r>
            <w:proofErr w:type="spellStart"/>
            <w:r>
              <w:rPr>
                <w:b/>
                <w:sz w:val="22"/>
                <w:szCs w:val="22"/>
              </w:rPr>
              <w:t>БелЭкспо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:rsidR="00324CA6" w:rsidRDefault="009B4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УНП 100055235, ОКПО 05546442</w:t>
            </w:r>
          </w:p>
          <w:p w:rsidR="00324CA6" w:rsidRDefault="009B478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ул.Павлины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Медёлки</w:t>
            </w:r>
            <w:proofErr w:type="spellEnd"/>
            <w:r>
              <w:rPr>
                <w:sz w:val="22"/>
                <w:szCs w:val="22"/>
              </w:rPr>
              <w:t xml:space="preserve">, 24, </w:t>
            </w:r>
            <w:proofErr w:type="spellStart"/>
            <w:r>
              <w:rPr>
                <w:sz w:val="22"/>
                <w:szCs w:val="22"/>
              </w:rPr>
              <w:t>г.Минск</w:t>
            </w:r>
            <w:proofErr w:type="spellEnd"/>
            <w:r>
              <w:rPr>
                <w:sz w:val="22"/>
                <w:szCs w:val="22"/>
              </w:rPr>
              <w:t>, 220080.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БАНКОВСКИЕ РЕКВИЗИТЫ: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УНП 100055235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Р/с BY09MMBN30120000040101642111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БАНК ПОЛУЧАТЕЛЯ: 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ОАО «Банк </w:t>
            </w:r>
            <w:proofErr w:type="spellStart"/>
            <w:r>
              <w:rPr>
                <w:sz w:val="20"/>
                <w:szCs w:val="22"/>
              </w:rPr>
              <w:t>Дабрабыт</w:t>
            </w:r>
            <w:proofErr w:type="spellEnd"/>
            <w:r>
              <w:rPr>
                <w:sz w:val="20"/>
                <w:szCs w:val="22"/>
              </w:rPr>
              <w:t>», БИК MMBNBY22,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К/</w:t>
            </w:r>
            <w:proofErr w:type="spellStart"/>
            <w:r>
              <w:rPr>
                <w:sz w:val="20"/>
                <w:szCs w:val="22"/>
              </w:rPr>
              <w:t>сч</w:t>
            </w:r>
            <w:proofErr w:type="spellEnd"/>
            <w:r>
              <w:rPr>
                <w:sz w:val="20"/>
                <w:szCs w:val="22"/>
              </w:rPr>
              <w:t xml:space="preserve"> 30111810600000000268, г. Минск, РБ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БАНК-КОРРЕСПОНДЕНТ БАНКА ПОЛУЧАТЕЛЯ: 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ПАО «ТКБ БАНК»,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К/</w:t>
            </w:r>
            <w:proofErr w:type="spellStart"/>
            <w:r>
              <w:rPr>
                <w:sz w:val="20"/>
                <w:szCs w:val="22"/>
              </w:rPr>
              <w:t>сч</w:t>
            </w:r>
            <w:proofErr w:type="spellEnd"/>
            <w:r>
              <w:rPr>
                <w:sz w:val="20"/>
                <w:szCs w:val="22"/>
              </w:rPr>
              <w:t xml:space="preserve"> 30101810800000000388 в ГУ Банка России по ЦФО, г. Москва, РФ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БИК 044525388, SWIFT TJSCRUMM</w:t>
            </w:r>
          </w:p>
          <w:p w:rsidR="00324CA6" w:rsidRDefault="009B4788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ИНН 7709129705, КПП 770901001</w:t>
            </w:r>
          </w:p>
        </w:tc>
        <w:tc>
          <w:tcPr>
            <w:tcW w:w="5387" w:type="dxa"/>
            <w:gridSpan w:val="2"/>
            <w:shd w:val="clear" w:color="auto" w:fill="auto"/>
          </w:tcPr>
          <w:tbl>
            <w:tblPr>
              <w:tblW w:w="0" w:type="auto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4884"/>
            </w:tblGrid>
            <w:tr w:rsidR="00324CA6">
              <w:trPr>
                <w:trHeight w:val="2404"/>
                <w:tblCellSpacing w:w="0" w:type="dxa"/>
              </w:trPr>
              <w:tc>
                <w:tcPr>
                  <w:tcW w:w="488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324CA6" w:rsidRDefault="009B4788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ЭКСПОНЕНТ</w:t>
                  </w:r>
                </w:p>
                <w:p w:rsidR="00324CA6" w:rsidRDefault="009B4788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_______________________________________</w:t>
                  </w:r>
                </w:p>
                <w:p w:rsidR="00324CA6" w:rsidRDefault="00324CA6">
                  <w:pPr>
                    <w:rPr>
                      <w:sz w:val="22"/>
                      <w:szCs w:val="22"/>
                    </w:rPr>
                  </w:pPr>
                </w:p>
                <w:p w:rsidR="00324CA6" w:rsidRDefault="009B478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Юридический/почтовый адре</w:t>
                  </w:r>
                  <w:r>
                    <w:rPr>
                      <w:sz w:val="22"/>
                      <w:szCs w:val="22"/>
                    </w:rPr>
                    <w:t>с ____________</w:t>
                  </w:r>
                </w:p>
                <w:p w:rsidR="00324CA6" w:rsidRDefault="00324CA6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324CA6" w:rsidRDefault="009B478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УНП _____________, ОКПО ______________</w:t>
                  </w:r>
                </w:p>
                <w:p w:rsidR="00324CA6" w:rsidRDefault="009B478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БАНКОВСКИЕ РЕКВИЗИТЫ:</w:t>
                  </w:r>
                </w:p>
                <w:p w:rsidR="00324CA6" w:rsidRDefault="009B478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р/с ____________________________________</w:t>
                  </w:r>
                </w:p>
                <w:p w:rsidR="00324CA6" w:rsidRDefault="009B4788">
                  <w:pPr>
                    <w:pStyle w:val="afd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Наименование и адрес банка___________</w:t>
                  </w:r>
                </w:p>
                <w:p w:rsidR="00324CA6" w:rsidRDefault="009B4788">
                  <w:pPr>
                    <w:pStyle w:val="afd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324CA6">
              <w:trPr>
                <w:trHeight w:val="276"/>
                <w:tblCellSpacing w:w="0" w:type="dxa"/>
              </w:trPr>
              <w:tc>
                <w:tcPr>
                  <w:tcW w:w="488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324CA6" w:rsidRDefault="00324CA6">
                  <w:pPr>
                    <w:pStyle w:val="afd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324CA6" w:rsidRDefault="00324CA6">
            <w:pPr>
              <w:rPr>
                <w:sz w:val="22"/>
                <w:szCs w:val="22"/>
              </w:rPr>
            </w:pPr>
          </w:p>
        </w:tc>
      </w:tr>
      <w:tr w:rsidR="00324CA6">
        <w:trPr>
          <w:gridAfter w:val="1"/>
          <w:wAfter w:w="562" w:type="dxa"/>
          <w:trHeight w:val="738"/>
        </w:trPr>
        <w:tc>
          <w:tcPr>
            <w:tcW w:w="5245" w:type="dxa"/>
            <w:shd w:val="clear" w:color="auto" w:fill="auto"/>
          </w:tcPr>
          <w:p w:rsidR="00324CA6" w:rsidRDefault="00324CA6">
            <w:pPr>
              <w:rPr>
                <w:sz w:val="22"/>
                <w:szCs w:val="22"/>
              </w:rPr>
            </w:pPr>
          </w:p>
          <w:p w:rsidR="00324CA6" w:rsidRDefault="009B4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выставочной</w:t>
            </w:r>
          </w:p>
          <w:p w:rsidR="00324CA6" w:rsidRDefault="009B478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деятельности __________ В.Н. Агафонова</w:t>
            </w:r>
          </w:p>
        </w:tc>
        <w:tc>
          <w:tcPr>
            <w:tcW w:w="4825" w:type="dxa"/>
            <w:shd w:val="clear" w:color="auto" w:fill="auto"/>
          </w:tcPr>
          <w:p w:rsidR="00324CA6" w:rsidRDefault="00324CA6">
            <w:pPr>
              <w:rPr>
                <w:sz w:val="22"/>
                <w:szCs w:val="22"/>
              </w:rPr>
            </w:pPr>
          </w:p>
          <w:p w:rsidR="00324CA6" w:rsidRDefault="009B4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______________ ( Ф.И.О.)</w:t>
            </w:r>
          </w:p>
        </w:tc>
      </w:tr>
    </w:tbl>
    <w:p w:rsidR="00324CA6" w:rsidRDefault="00324CA6">
      <w:pPr>
        <w:rPr>
          <w:sz w:val="22"/>
          <w:szCs w:val="22"/>
        </w:rPr>
      </w:pPr>
    </w:p>
    <w:p w:rsidR="00324CA6" w:rsidRDefault="00324CA6">
      <w:pPr>
        <w:rPr>
          <w:sz w:val="22"/>
          <w:szCs w:val="22"/>
        </w:rPr>
      </w:pPr>
    </w:p>
    <w:sectPr w:rsidR="00324CA6">
      <w:headerReference w:type="first" r:id="rId14"/>
      <w:pgSz w:w="11906" w:h="16838"/>
      <w:pgMar w:top="808" w:right="720" w:bottom="567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788" w:rsidRDefault="009B4788">
      <w:r>
        <w:separator/>
      </w:r>
    </w:p>
  </w:endnote>
  <w:endnote w:type="continuationSeparator" w:id="0">
    <w:p w:rsidR="009B4788" w:rsidRDefault="009B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788" w:rsidRDefault="009B4788">
      <w:r>
        <w:separator/>
      </w:r>
    </w:p>
  </w:footnote>
  <w:footnote w:type="continuationSeparator" w:id="0">
    <w:p w:rsidR="009B4788" w:rsidRDefault="009B4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CA6" w:rsidRDefault="00324CA6">
    <w:pPr>
      <w:pStyle w:val="af3"/>
      <w:rPr>
        <w:rFonts w:ascii="Arial" w:hAnsi="Arial" w:cs="Arial"/>
        <w:b/>
        <w:sz w:val="6"/>
        <w:lang w:val="ru-RU"/>
      </w:rPr>
    </w:pPr>
  </w:p>
  <w:p w:rsidR="00324CA6" w:rsidRDefault="009B4788">
    <w:pPr>
      <w:pStyle w:val="af3"/>
      <w:widowControl w:val="0"/>
      <w:rPr>
        <w:rFonts w:ascii="Arial" w:hAnsi="Arial" w:cs="Arial"/>
        <w:b/>
        <w:color w:val="000000" w:themeColor="text1"/>
        <w:sz w:val="24"/>
        <w:lang w:val="ru-RU"/>
      </w:rPr>
    </w:pPr>
    <w:r>
      <w:rPr>
        <w:rFonts w:ascii="Arial" w:hAnsi="Arial" w:cs="Arial"/>
        <w:b/>
        <w:color w:val="000000" w:themeColor="text1"/>
        <w:sz w:val="24"/>
        <w:lang w:val="ru-RU"/>
      </w:rPr>
      <w:t xml:space="preserve">                                         </w:t>
    </w:r>
  </w:p>
  <w:tbl>
    <w:tblPr>
      <w:tblStyle w:val="af5"/>
      <w:tblW w:w="10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522"/>
    </w:tblGrid>
    <w:tr w:rsidR="00324CA6">
      <w:trPr>
        <w:trHeight w:val="1138"/>
      </w:trPr>
      <w:tc>
        <w:tcPr>
          <w:tcW w:w="4978" w:type="dxa"/>
        </w:tcPr>
        <w:p w:rsidR="00324CA6" w:rsidRDefault="009B4788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noProof/>
              <w:color w:val="000000"/>
              <w:sz w:val="10"/>
              <w:lang w:val="ru-RU" w:eastAsia="ru-RU"/>
            </w:rPr>
            <mc:AlternateContent>
              <mc:Choice Requires="wpg">
                <w:drawing>
                  <wp:inline distT="0" distB="0" distL="0" distR="0">
                    <wp:extent cx="2905125" cy="942975"/>
                    <wp:effectExtent l="0" t="0" r="0" b="0"/>
                    <wp:docPr id="1" name="_x0000_i102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905125" cy="942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228.75pt;height:74.25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5522" w:type="dxa"/>
        </w:tcPr>
        <w:p w:rsidR="00324CA6" w:rsidRDefault="00324CA6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:rsidR="00324CA6" w:rsidRDefault="00324CA6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:rsidR="00324CA6" w:rsidRDefault="009B4788">
          <w:pPr>
            <w:pStyle w:val="af3"/>
            <w:widowControl w:val="0"/>
            <w:rPr>
              <w:rFonts w:ascii="Arial" w:hAnsi="Arial" w:cs="Arial"/>
              <w:b/>
              <w:color w:val="000000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 xml:space="preserve">ДОГОВОР № __________ </w:t>
          </w:r>
        </w:p>
        <w:p w:rsidR="00324CA6" w:rsidRDefault="00324CA6">
          <w:pPr>
            <w:pStyle w:val="af3"/>
            <w:ind w:left="243" w:hanging="209"/>
            <w:rPr>
              <w:rFonts w:ascii="Arial" w:hAnsi="Arial" w:cs="Arial"/>
              <w:b/>
              <w:color w:val="000000"/>
              <w:sz w:val="10"/>
              <w:lang w:val="ru-RU"/>
            </w:rPr>
          </w:pPr>
        </w:p>
        <w:p w:rsidR="00324CA6" w:rsidRDefault="009B4788">
          <w:pPr>
            <w:pStyle w:val="af3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>«_____» _______________ 2026 г., г. Минск</w:t>
          </w:r>
        </w:p>
        <w:p w:rsidR="00324CA6" w:rsidRDefault="00324CA6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</w:tc>
    </w:tr>
  </w:tbl>
  <w:p w:rsidR="00324CA6" w:rsidRDefault="00324CA6">
    <w:pPr>
      <w:pStyle w:val="af3"/>
      <w:ind w:left="5245"/>
      <w:rPr>
        <w:rFonts w:ascii="Arial" w:hAnsi="Arial" w:cs="Arial"/>
        <w:b/>
        <w:color w:val="000000" w:themeColor="text1"/>
        <w:sz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719F1"/>
    <w:multiLevelType w:val="hybridMultilevel"/>
    <w:tmpl w:val="C87499D8"/>
    <w:lvl w:ilvl="0" w:tplc="9D323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64872C">
      <w:start w:val="1"/>
      <w:numFmt w:val="lowerLetter"/>
      <w:lvlText w:val="%2."/>
      <w:lvlJc w:val="left"/>
      <w:pPr>
        <w:ind w:left="1440" w:hanging="360"/>
      </w:pPr>
    </w:lvl>
    <w:lvl w:ilvl="2" w:tplc="4606DD3C">
      <w:start w:val="1"/>
      <w:numFmt w:val="lowerRoman"/>
      <w:lvlText w:val="%3."/>
      <w:lvlJc w:val="right"/>
      <w:pPr>
        <w:ind w:left="2160" w:hanging="180"/>
      </w:pPr>
    </w:lvl>
    <w:lvl w:ilvl="3" w:tplc="F71A4946">
      <w:start w:val="1"/>
      <w:numFmt w:val="decimal"/>
      <w:lvlText w:val="%4."/>
      <w:lvlJc w:val="left"/>
      <w:pPr>
        <w:ind w:left="2880" w:hanging="360"/>
      </w:pPr>
    </w:lvl>
    <w:lvl w:ilvl="4" w:tplc="7CAC48F4">
      <w:start w:val="1"/>
      <w:numFmt w:val="lowerLetter"/>
      <w:lvlText w:val="%5."/>
      <w:lvlJc w:val="left"/>
      <w:pPr>
        <w:ind w:left="3600" w:hanging="360"/>
      </w:pPr>
    </w:lvl>
    <w:lvl w:ilvl="5" w:tplc="17B00B3A">
      <w:start w:val="1"/>
      <w:numFmt w:val="lowerRoman"/>
      <w:lvlText w:val="%6."/>
      <w:lvlJc w:val="right"/>
      <w:pPr>
        <w:ind w:left="4320" w:hanging="180"/>
      </w:pPr>
    </w:lvl>
    <w:lvl w:ilvl="6" w:tplc="FFA86FDC">
      <w:start w:val="1"/>
      <w:numFmt w:val="decimal"/>
      <w:lvlText w:val="%7."/>
      <w:lvlJc w:val="left"/>
      <w:pPr>
        <w:ind w:left="5040" w:hanging="360"/>
      </w:pPr>
    </w:lvl>
    <w:lvl w:ilvl="7" w:tplc="D0A03760">
      <w:start w:val="1"/>
      <w:numFmt w:val="lowerLetter"/>
      <w:lvlText w:val="%8."/>
      <w:lvlJc w:val="left"/>
      <w:pPr>
        <w:ind w:left="5760" w:hanging="360"/>
      </w:pPr>
    </w:lvl>
    <w:lvl w:ilvl="8" w:tplc="A866DD5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D74D2"/>
    <w:multiLevelType w:val="hybridMultilevel"/>
    <w:tmpl w:val="FD568368"/>
    <w:lvl w:ilvl="0" w:tplc="958E1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FC30F2">
      <w:start w:val="1"/>
      <w:numFmt w:val="lowerLetter"/>
      <w:lvlText w:val="%2."/>
      <w:lvlJc w:val="left"/>
      <w:pPr>
        <w:ind w:left="1440" w:hanging="360"/>
      </w:pPr>
    </w:lvl>
    <w:lvl w:ilvl="2" w:tplc="38A0B0C6">
      <w:start w:val="1"/>
      <w:numFmt w:val="lowerRoman"/>
      <w:lvlText w:val="%3."/>
      <w:lvlJc w:val="right"/>
      <w:pPr>
        <w:ind w:left="2160" w:hanging="180"/>
      </w:pPr>
    </w:lvl>
    <w:lvl w:ilvl="3" w:tplc="30D6ECBA">
      <w:start w:val="1"/>
      <w:numFmt w:val="decimal"/>
      <w:lvlText w:val="%4."/>
      <w:lvlJc w:val="left"/>
      <w:pPr>
        <w:ind w:left="2880" w:hanging="360"/>
      </w:pPr>
    </w:lvl>
    <w:lvl w:ilvl="4" w:tplc="559E24F4">
      <w:start w:val="1"/>
      <w:numFmt w:val="lowerLetter"/>
      <w:lvlText w:val="%5."/>
      <w:lvlJc w:val="left"/>
      <w:pPr>
        <w:ind w:left="3600" w:hanging="360"/>
      </w:pPr>
    </w:lvl>
    <w:lvl w:ilvl="5" w:tplc="2FC6467C">
      <w:start w:val="1"/>
      <w:numFmt w:val="lowerRoman"/>
      <w:lvlText w:val="%6."/>
      <w:lvlJc w:val="right"/>
      <w:pPr>
        <w:ind w:left="4320" w:hanging="180"/>
      </w:pPr>
    </w:lvl>
    <w:lvl w:ilvl="6" w:tplc="931864CA">
      <w:start w:val="1"/>
      <w:numFmt w:val="decimal"/>
      <w:lvlText w:val="%7."/>
      <w:lvlJc w:val="left"/>
      <w:pPr>
        <w:ind w:left="5040" w:hanging="360"/>
      </w:pPr>
    </w:lvl>
    <w:lvl w:ilvl="7" w:tplc="1FD0FABA">
      <w:start w:val="1"/>
      <w:numFmt w:val="lowerLetter"/>
      <w:lvlText w:val="%8."/>
      <w:lvlJc w:val="left"/>
      <w:pPr>
        <w:ind w:left="5760" w:hanging="360"/>
      </w:pPr>
    </w:lvl>
    <w:lvl w:ilvl="8" w:tplc="63CABF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007DB"/>
    <w:multiLevelType w:val="hybridMultilevel"/>
    <w:tmpl w:val="0F62642C"/>
    <w:lvl w:ilvl="0" w:tplc="69963E8E">
      <w:start w:val="1"/>
      <w:numFmt w:val="decimal"/>
      <w:lvlText w:val="%1."/>
      <w:lvlJc w:val="left"/>
      <w:pPr>
        <w:ind w:left="1080" w:hanging="360"/>
      </w:pPr>
    </w:lvl>
    <w:lvl w:ilvl="1" w:tplc="5F2C8576">
      <w:start w:val="1"/>
      <w:numFmt w:val="lowerLetter"/>
      <w:lvlText w:val="%2."/>
      <w:lvlJc w:val="left"/>
      <w:pPr>
        <w:ind w:left="1800" w:hanging="360"/>
      </w:pPr>
    </w:lvl>
    <w:lvl w:ilvl="2" w:tplc="84F08BD4">
      <w:start w:val="1"/>
      <w:numFmt w:val="lowerRoman"/>
      <w:lvlText w:val="%3."/>
      <w:lvlJc w:val="right"/>
      <w:pPr>
        <w:ind w:left="2520" w:hanging="180"/>
      </w:pPr>
    </w:lvl>
    <w:lvl w:ilvl="3" w:tplc="A89048EE">
      <w:start w:val="1"/>
      <w:numFmt w:val="decimal"/>
      <w:lvlText w:val="%4."/>
      <w:lvlJc w:val="left"/>
      <w:pPr>
        <w:ind w:left="3240" w:hanging="360"/>
      </w:pPr>
    </w:lvl>
    <w:lvl w:ilvl="4" w:tplc="279AAA06">
      <w:start w:val="1"/>
      <w:numFmt w:val="lowerLetter"/>
      <w:lvlText w:val="%5."/>
      <w:lvlJc w:val="left"/>
      <w:pPr>
        <w:ind w:left="3960" w:hanging="360"/>
      </w:pPr>
    </w:lvl>
    <w:lvl w:ilvl="5" w:tplc="41604BCC">
      <w:start w:val="1"/>
      <w:numFmt w:val="lowerRoman"/>
      <w:lvlText w:val="%6."/>
      <w:lvlJc w:val="right"/>
      <w:pPr>
        <w:ind w:left="4680" w:hanging="180"/>
      </w:pPr>
    </w:lvl>
    <w:lvl w:ilvl="6" w:tplc="350A1D3E">
      <w:start w:val="1"/>
      <w:numFmt w:val="decimal"/>
      <w:lvlText w:val="%7."/>
      <w:lvlJc w:val="left"/>
      <w:pPr>
        <w:ind w:left="5400" w:hanging="360"/>
      </w:pPr>
    </w:lvl>
    <w:lvl w:ilvl="7" w:tplc="479CBAF4">
      <w:start w:val="1"/>
      <w:numFmt w:val="lowerLetter"/>
      <w:lvlText w:val="%8."/>
      <w:lvlJc w:val="left"/>
      <w:pPr>
        <w:ind w:left="6120" w:hanging="360"/>
      </w:pPr>
    </w:lvl>
    <w:lvl w:ilvl="8" w:tplc="AA0CF80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6F27A4"/>
    <w:multiLevelType w:val="hybridMultilevel"/>
    <w:tmpl w:val="D1CAEDCA"/>
    <w:lvl w:ilvl="0" w:tplc="01C2A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473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C67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E9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CE8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A3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084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DD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5AC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C20E2"/>
    <w:multiLevelType w:val="hybridMultilevel"/>
    <w:tmpl w:val="4720F1CA"/>
    <w:lvl w:ilvl="0" w:tplc="55527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E81E7C">
      <w:start w:val="1"/>
      <w:numFmt w:val="lowerLetter"/>
      <w:lvlText w:val="%2."/>
      <w:lvlJc w:val="left"/>
      <w:pPr>
        <w:ind w:left="1440" w:hanging="360"/>
      </w:pPr>
    </w:lvl>
    <w:lvl w:ilvl="2" w:tplc="F11087E8">
      <w:start w:val="1"/>
      <w:numFmt w:val="lowerRoman"/>
      <w:lvlText w:val="%3."/>
      <w:lvlJc w:val="right"/>
      <w:pPr>
        <w:ind w:left="2160" w:hanging="180"/>
      </w:pPr>
    </w:lvl>
    <w:lvl w:ilvl="3" w:tplc="3DA2DD3C">
      <w:start w:val="1"/>
      <w:numFmt w:val="decimal"/>
      <w:lvlText w:val="%4."/>
      <w:lvlJc w:val="left"/>
      <w:pPr>
        <w:ind w:left="2880" w:hanging="360"/>
      </w:pPr>
    </w:lvl>
    <w:lvl w:ilvl="4" w:tplc="EC5AFBC6">
      <w:start w:val="1"/>
      <w:numFmt w:val="lowerLetter"/>
      <w:lvlText w:val="%5."/>
      <w:lvlJc w:val="left"/>
      <w:pPr>
        <w:ind w:left="3600" w:hanging="360"/>
      </w:pPr>
    </w:lvl>
    <w:lvl w:ilvl="5" w:tplc="7BDC334A">
      <w:start w:val="1"/>
      <w:numFmt w:val="lowerRoman"/>
      <w:lvlText w:val="%6."/>
      <w:lvlJc w:val="right"/>
      <w:pPr>
        <w:ind w:left="4320" w:hanging="180"/>
      </w:pPr>
    </w:lvl>
    <w:lvl w:ilvl="6" w:tplc="F3A20DA6">
      <w:start w:val="1"/>
      <w:numFmt w:val="decimal"/>
      <w:lvlText w:val="%7."/>
      <w:lvlJc w:val="left"/>
      <w:pPr>
        <w:ind w:left="5040" w:hanging="360"/>
      </w:pPr>
    </w:lvl>
    <w:lvl w:ilvl="7" w:tplc="D500044E">
      <w:start w:val="1"/>
      <w:numFmt w:val="lowerLetter"/>
      <w:lvlText w:val="%8."/>
      <w:lvlJc w:val="left"/>
      <w:pPr>
        <w:ind w:left="5760" w:hanging="360"/>
      </w:pPr>
    </w:lvl>
    <w:lvl w:ilvl="8" w:tplc="619E62C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13B35"/>
    <w:multiLevelType w:val="multilevel"/>
    <w:tmpl w:val="362CA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A6"/>
    <w:rsid w:val="00324CA6"/>
    <w:rsid w:val="009B4788"/>
    <w:rsid w:val="00A8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2C1A"/>
  <w15:docId w15:val="{FC7CB704-20A5-406E-81AF-EE0BC9A4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 Spacing"/>
    <w:uiPriority w:val="1"/>
    <w:qFormat/>
    <w:pPr>
      <w:spacing w:after="0" w:line="240" w:lineRule="auto"/>
    </w:p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844"/>
        <w:tab w:val="right" w:pos="9689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844"/>
        <w:tab w:val="right" w:pos="9689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5">
    <w:name w:val="Основной текст (2)_"/>
    <w:basedOn w:val="a0"/>
    <w:link w:val="210"/>
    <w:uiPriority w:val="99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pPr>
      <w:widowControl w:val="0"/>
      <w:shd w:val="clear" w:color="auto" w:fill="FFFFFF"/>
      <w:spacing w:before="420" w:line="456" w:lineRule="exact"/>
    </w:pPr>
    <w:rPr>
      <w:rFonts w:eastAsiaTheme="minorHAnsi"/>
      <w:b/>
      <w:bCs/>
      <w:sz w:val="40"/>
      <w:szCs w:val="40"/>
      <w:lang w:val="en-US" w:eastAsia="en-US"/>
    </w:rPr>
  </w:style>
  <w:style w:type="character" w:customStyle="1" w:styleId="33">
    <w:name w:val="Основной текст (3)_"/>
    <w:basedOn w:val="a0"/>
    <w:link w:val="34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pPr>
      <w:widowControl w:val="0"/>
      <w:shd w:val="clear" w:color="auto" w:fill="FFFFFF"/>
      <w:spacing w:before="120" w:after="420" w:line="240" w:lineRule="atLeast"/>
    </w:pPr>
    <w:rPr>
      <w:rFonts w:eastAsiaTheme="minorHAnsi"/>
      <w:b/>
      <w:bCs/>
      <w:sz w:val="28"/>
      <w:szCs w:val="28"/>
      <w:lang w:val="en-US" w:eastAsia="en-US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ekspeditor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duct@ck.b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elexpo.b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budexpo@belexpo.b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65898F2C-1499-4B97-837A-52FE126A0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1814</Words>
  <Characters>10344</Characters>
  <Application>Microsoft Office Word</Application>
  <DocSecurity>0</DocSecurity>
  <Lines>86</Lines>
  <Paragraphs>24</Paragraphs>
  <ScaleCrop>false</ScaleCrop>
  <Company/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Сергей Рубцов</cp:lastModifiedBy>
  <cp:revision>5</cp:revision>
  <dcterms:created xsi:type="dcterms:W3CDTF">2025-11-20T11:43:00Z</dcterms:created>
  <dcterms:modified xsi:type="dcterms:W3CDTF">2025-11-28T11:33:00Z</dcterms:modified>
</cp:coreProperties>
</file>